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ind w:left="0" w:right="0" w:firstLine="0"/>
        <w:jc w:val="center"/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4"/>
        <w:gridCol w:w="2679"/>
        <w:gridCol w:w="1342"/>
        <w:gridCol w:w="908"/>
        <w:gridCol w:w="1762"/>
        <w:gridCol w:w="1335"/>
      </w:tblGrid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وضعیت تحصیلی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ورودی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مقطع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نام و نام خانوادگی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97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فرشته مروتی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حال دفاع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97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ساناز غلامی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انتظار تصمیم آموزش کل هستیم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94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رامین نوبهاری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98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مهسا حسن زاده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97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فرزانه فضلی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97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مجید شکوهی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97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داود خارراضی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نگین چاوشی نژاد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محمد محمودی اصل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بلال برازوان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مهدی رهنورد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1401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فاطمه قاسم زاده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1401</w:t>
            </w:r>
          </w:p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PhD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مرتضی عبدی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1"/>
        <w:ind w:left="0" w:right="0" w:firstLine="0"/>
        <w:jc w:val="center"/>
        <w:rPr>
          <w:rFonts w:ascii="B Nazanin" w:cs="B Nazanin" w:hAnsi="B Nazanin" w:eastAsia="B Nazanin"/>
          <w:b w:val="1"/>
          <w:bCs w:val="1"/>
          <w:sz w:val="28"/>
          <w:szCs w:val="28"/>
          <w:rtl w:val="1"/>
        </w:rPr>
      </w:pP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  <w:t xml:space="preserve">دانشجویان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1"/>
        </w:rPr>
        <w:t>PhD</w:t>
      </w: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  <w:t xml:space="preserve"> شاغل به تحصیل گروه علوم تشریحی</w:t>
      </w:r>
    </w:p>
    <w:p>
      <w:pPr>
        <w:pStyle w:val="Body"/>
        <w:bidi w:val="1"/>
        <w:ind w:left="0" w:right="0" w:firstLine="0"/>
        <w:jc w:val="center"/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center"/>
        <w:rPr>
          <w:rtl w:val="1"/>
        </w:rPr>
      </w:pP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